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note for WSF Events: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Queer Community and Arts in Social Movements and Resistance.  </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Introduction:</w:t>
      </w:r>
      <w:r w:rsidDel="00000000" w:rsidR="00000000" w:rsidRPr="00000000">
        <w:rPr>
          <w:rtl w:val="0"/>
        </w:rPr>
      </w:r>
    </w:p>
    <w:p w:rsidR="00000000" w:rsidDel="00000000" w:rsidP="00000000" w:rsidRDefault="00000000" w:rsidRPr="00000000" w14:paraId="0000000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Marginalized groups and their roles in social movements to do with their own liberation and empowerment often overshadow the tremendous contributions made by these individuals and communities to the achievements of rights for all. Historical, contemporary, and future social movements geared towards rights and access of all humanity have and will continue to be served by the efforts of its overlooked and oppressed communities. This is a celebration, a stocktaking, and projections on how the queer community and its artforms have influenced and contributed to social movements and resistance. </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Overall aim: </w:t>
      </w:r>
      <w:r w:rsidDel="00000000" w:rsidR="00000000" w:rsidRPr="00000000">
        <w:rPr>
          <w:rFonts w:ascii="Times" w:cs="Times" w:eastAsia="Times" w:hAnsi="Times"/>
          <w:sz w:val="24"/>
          <w:szCs w:val="24"/>
          <w:rtl w:val="0"/>
        </w:rPr>
        <w:t xml:space="preserve">To bring together organizations and panelists from various LGBTQIA+ groups to discuss and educate on how Queer people and movements have contributed to larger waves of progress in the world.</w:t>
      </w:r>
    </w:p>
    <w:p w:rsidR="00000000" w:rsidDel="00000000" w:rsidP="00000000" w:rsidRDefault="00000000" w:rsidRPr="00000000" w14:paraId="0000000B">
      <w:pPr>
        <w:spacing w:after="240" w:befor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Specific objectives:</w:t>
      </w:r>
    </w:p>
    <w:p w:rsidR="00000000" w:rsidDel="00000000" w:rsidP="00000000" w:rsidRDefault="00000000" w:rsidRPr="00000000" w14:paraId="0000000C">
      <w:pPr>
        <w:numPr>
          <w:ilvl w:val="0"/>
          <w:numId w:val="1"/>
        </w:numPr>
        <w:spacing w:after="0" w:afterAutospacing="0" w:before="24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Reexamining history and movements through the eye of LGBTQIA+ contributions.</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Bringing to light the intersectionalities within the LGBTQIA+ community and the lessons we can learn</w:t>
      </w:r>
    </w:p>
    <w:p w:rsidR="00000000" w:rsidDel="00000000" w:rsidP="00000000" w:rsidRDefault="00000000" w:rsidRPr="00000000" w14:paraId="0000000E">
      <w:pPr>
        <w:numPr>
          <w:ilvl w:val="0"/>
          <w:numId w:val="1"/>
        </w:numPr>
        <w:spacing w:after="240" w:before="0" w:beforeAutospacing="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Discussing how we can better institutionalize and commemorate these contributions</w:t>
      </w:r>
    </w:p>
    <w:p w:rsidR="00000000" w:rsidDel="00000000" w:rsidP="00000000" w:rsidRDefault="00000000" w:rsidRPr="00000000" w14:paraId="0000000F">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Organisers: </w:t>
      </w:r>
      <w:r w:rsidDel="00000000" w:rsidR="00000000" w:rsidRPr="00000000">
        <w:rPr>
          <w:rFonts w:ascii="Times" w:cs="Times" w:eastAsia="Times" w:hAnsi="Times"/>
          <w:sz w:val="24"/>
          <w:szCs w:val="24"/>
          <w:rtl w:val="0"/>
        </w:rPr>
        <w:t xml:space="preserve">Rural Reconstruction Nepal (RRN)</w:t>
      </w:r>
    </w:p>
    <w:p w:rsidR="00000000" w:rsidDel="00000000" w:rsidP="00000000" w:rsidRDefault="00000000" w:rsidRPr="00000000" w14:paraId="00000010">
      <w:pPr>
        <w:spacing w:after="240" w:befor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Co-Organisers: Queer Honkytonk</w:t>
      </w:r>
    </w:p>
    <w:p w:rsidR="00000000" w:rsidDel="00000000" w:rsidP="00000000" w:rsidRDefault="00000000" w:rsidRPr="00000000" w14:paraId="00000011">
      <w:pPr>
        <w:spacing w:after="240"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Potential Panelists: TBD</w:t>
      </w:r>
    </w:p>
    <w:p w:rsidR="00000000" w:rsidDel="00000000" w:rsidP="00000000" w:rsidRDefault="00000000" w:rsidRPr="00000000" w14:paraId="00000012">
      <w:pPr>
        <w:spacing w:after="240" w:befor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